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D2" w:rsidRDefault="007D1ED2" w:rsidP="007D1ED2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FC34EF">
        <w:rPr>
          <w:rFonts w:asciiTheme="minorHAnsi" w:hAnsiTheme="minorHAnsi" w:cstheme="minorHAnsi"/>
          <w:b/>
          <w:bCs/>
          <w:iCs/>
          <w:color w:val="000000"/>
          <w:sz w:val="28"/>
          <w:szCs w:val="24"/>
          <w:lang w:eastAsia="en-GB"/>
        </w:rPr>
        <w:t>WMG Academy for Young Engineers (</w:t>
      </w:r>
      <w:r>
        <w:rPr>
          <w:rFonts w:asciiTheme="minorHAnsi" w:hAnsiTheme="minorHAnsi" w:cstheme="minorHAnsi"/>
          <w:b/>
          <w:bCs/>
          <w:iCs/>
          <w:color w:val="000000"/>
          <w:sz w:val="28"/>
          <w:szCs w:val="24"/>
          <w:lang w:eastAsia="en-GB"/>
        </w:rPr>
        <w:t>Coventry</w:t>
      </w:r>
      <w:r w:rsidRPr="00FC34EF">
        <w:rPr>
          <w:rFonts w:asciiTheme="minorHAnsi" w:hAnsiTheme="minorHAnsi" w:cstheme="minorHAnsi"/>
          <w:b/>
          <w:bCs/>
          <w:iCs/>
          <w:color w:val="000000"/>
          <w:sz w:val="28"/>
          <w:szCs w:val="24"/>
          <w:lang w:eastAsia="en-GB"/>
        </w:rPr>
        <w:t xml:space="preserve">) </w:t>
      </w:r>
      <w:r w:rsidRPr="00FC34EF">
        <w:rPr>
          <w:rFonts w:asciiTheme="minorHAnsi" w:hAnsiTheme="minorHAnsi" w:cstheme="minorHAnsi"/>
          <w:b/>
          <w:bCs/>
          <w:color w:val="000000"/>
          <w:sz w:val="28"/>
          <w:szCs w:val="24"/>
          <w:lang w:eastAsia="en-GB"/>
        </w:rPr>
        <w:t xml:space="preserve">Careers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en-GB"/>
        </w:rPr>
        <w:t>Plans</w:t>
      </w:r>
      <w:r w:rsidRPr="00FC34EF">
        <w:rPr>
          <w:rFonts w:asciiTheme="minorHAnsi" w:hAnsiTheme="minorHAnsi" w:cstheme="minorHAnsi"/>
          <w:b/>
          <w:bCs/>
          <w:color w:val="000000"/>
          <w:sz w:val="28"/>
          <w:szCs w:val="24"/>
          <w:lang w:eastAsia="en-GB"/>
        </w:rPr>
        <w:t xml:space="preserve"> </w:t>
      </w:r>
      <w:r w:rsidRPr="001D2227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ab/>
      </w:r>
      <w:r w:rsidR="00A24065" w:rsidRPr="00A24065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>(reviewed and updated 01/07/22)</w:t>
      </w:r>
    </w:p>
    <w:p w:rsidR="007D1ED2" w:rsidRDefault="007D1ED2" w:rsidP="007D1ED2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D1ED2" w:rsidTr="00A7704F">
        <w:tc>
          <w:tcPr>
            <w:tcW w:w="15388" w:type="dxa"/>
            <w:gridSpan w:val="2"/>
          </w:tcPr>
          <w:p w:rsidR="007D1ED2" w:rsidRDefault="007D1ED2" w:rsidP="00A7704F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Key Stage 4- Posters around academy for career opportunities, curriculum and career links, apprenticeship types as well as posts on Google Classroom.  </w:t>
            </w:r>
            <w:r w:rsidR="00C74B0D" w:rsidRPr="00C74B0D"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Career lessons delivered as part of tutor programme.</w:t>
            </w:r>
            <w:r w:rsidR="00C74B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Employer engagement opportunities through guest assemblies and workshops.</w:t>
            </w:r>
          </w:p>
        </w:tc>
      </w:tr>
      <w:tr w:rsidR="007D1ED2" w:rsidTr="00A7704F">
        <w:tc>
          <w:tcPr>
            <w:tcW w:w="7694" w:type="dxa"/>
          </w:tcPr>
          <w:p w:rsidR="007D1ED2" w:rsidRDefault="007D1ED2" w:rsidP="00A7704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Year 10</w:t>
            </w:r>
          </w:p>
          <w:p w:rsidR="00367566" w:rsidRDefault="00794E25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Access to UNIFROG the </w:t>
            </w:r>
            <w:r w:rsidR="00367566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school’s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career platform</w:t>
            </w:r>
          </w:p>
          <w:p w:rsidR="00794E25" w:rsidRDefault="00367566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Access to the CAREERS HUB an internal careers site</w:t>
            </w:r>
            <w:r w:rsidR="00794E25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Support in applying for Work Experience</w:t>
            </w:r>
          </w:p>
          <w:p w:rsidR="00222F52" w:rsidRDefault="00C74B0D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Career lessons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: 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what is a 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CV,</w:t>
            </w:r>
            <w:r w:rsidR="00367566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3B3B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w</w:t>
            </w:r>
            <w:r w:rsidR="00367566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hy are interviews important, </w:t>
            </w:r>
            <w:r w:rsidR="001C3B3B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w</w:t>
            </w:r>
            <w:r w:rsidR="00367566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hat is labour market information and why do I need to know about it,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applying for work experience</w:t>
            </w:r>
            <w:r w:rsidR="001C3B3B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FD37A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understanding future options</w:t>
            </w:r>
            <w:r w:rsidR="001C3B3B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and</w:t>
            </w:r>
            <w:r w:rsidR="00222F5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ready for work business skills </w:t>
            </w:r>
          </w:p>
          <w:p w:rsidR="007D1ED2" w:rsidRDefault="00222F5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Attend relevant career shows such as the 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World Skills Show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and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Big Bang Fair</w:t>
            </w:r>
            <w:r w:rsidR="00222F5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22F52" w:rsidRDefault="00222F52" w:rsidP="00222F52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9413A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Participation in the Duke of Edinburgh is encouraged</w:t>
            </w:r>
          </w:p>
          <w:p w:rsidR="00222F52" w:rsidRPr="00CE7B43" w:rsidRDefault="00222F5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</w:tcPr>
          <w:p w:rsidR="007D1ED2" w:rsidRDefault="007D1ED2" w:rsidP="00A7704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Year 11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National Citizens Service Summer Scheme </w:t>
            </w:r>
          </w:p>
          <w:p w:rsidR="007D1ED2" w:rsidRDefault="00FD37A0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Career lessons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1C3B3B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post 16 options,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creating a 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CV</w:t>
            </w:r>
            <w:r w:rsidR="009413A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, interview skills and searching for apprenticeships</w:t>
            </w:r>
            <w:r w:rsidR="00222F5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, ready for work business skills</w:t>
            </w:r>
            <w:r w:rsidR="009413A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794E25" w:rsidRDefault="00794E25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Activities given in UNIFROG the schools career platform </w:t>
            </w:r>
          </w:p>
          <w:p w:rsidR="006807F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343AD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Open Days for colleges</w:t>
            </w:r>
            <w:r w:rsidR="00222F5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343AD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Sixth </w:t>
            </w:r>
            <w:r w:rsidR="00222F5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Form and apprenticeship positions</w:t>
            </w:r>
            <w:r w:rsidRPr="00343AD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posted on Google Classrooms.</w:t>
            </w:r>
          </w:p>
          <w:p w:rsidR="006807F2" w:rsidRDefault="006807F2" w:rsidP="006807F2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Activities given in UNIFROG the school’s career platform</w:t>
            </w:r>
          </w:p>
          <w:p w:rsidR="009413AA" w:rsidRDefault="009413AA" w:rsidP="00A7704F">
            <w:pPr>
              <w:spacing w:after="0" w:line="240" w:lineRule="auto"/>
            </w:pPr>
            <w:r w:rsidRPr="009413AA">
              <w:t>College encounters for specific students</w:t>
            </w:r>
          </w:p>
          <w:p w:rsidR="007D1ED2" w:rsidRDefault="009413AA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9413A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Progression of Duke of Edinburgh is encouraged</w:t>
            </w:r>
          </w:p>
          <w:p w:rsidR="001C3B3B" w:rsidRPr="00343AD0" w:rsidRDefault="001C3B3B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Opportunity to attend apprenticeship centres such as MGTS and MTC</w:t>
            </w:r>
          </w:p>
        </w:tc>
      </w:tr>
      <w:tr w:rsidR="007D1ED2" w:rsidTr="00A7704F">
        <w:tc>
          <w:tcPr>
            <w:tcW w:w="15388" w:type="dxa"/>
            <w:gridSpan w:val="2"/>
          </w:tcPr>
          <w:p w:rsidR="007D1ED2" w:rsidRDefault="007D1ED2" w:rsidP="00A7704F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Key Stage 5- Posters around academy for career opportunities, curriculum and career links, apprenticeship types as well as posts on Google Classroom.  </w:t>
            </w:r>
            <w:r w:rsidR="00C74B0D" w:rsidRPr="00C74B0D"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Career lessons delivered as part of tutor programme</w:t>
            </w:r>
            <w:r w:rsidR="00C74B0D"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Employer engagement opportunities through guest assemblies and workshops.</w:t>
            </w:r>
          </w:p>
        </w:tc>
      </w:tr>
      <w:tr w:rsidR="007D1ED2" w:rsidTr="00A7704F">
        <w:tc>
          <w:tcPr>
            <w:tcW w:w="7694" w:type="dxa"/>
          </w:tcPr>
          <w:p w:rsidR="007D1ED2" w:rsidRDefault="007D1ED2" w:rsidP="00A7704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Year 12</w:t>
            </w:r>
          </w:p>
          <w:p w:rsidR="00794E25" w:rsidRDefault="00794E25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Access to UNIFROG the </w:t>
            </w:r>
            <w:r w:rsidR="00A24065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school’s</w:t>
            </w:r>
            <w:bookmarkStart w:id="0" w:name="_GoBack"/>
            <w:bookmarkEnd w:id="0"/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career platform</w:t>
            </w:r>
          </w:p>
          <w:p w:rsidR="001C3B3B" w:rsidRDefault="001C3B3B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Access to the CAREERS HUB an internal careers site </w:t>
            </w:r>
          </w:p>
          <w:p w:rsidR="00C74B0D" w:rsidRDefault="00C74B0D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Support in applying for Work Experience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What is Higher Education? (University Representatives)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Writing a UCAS Personal Statement (University Representative)</w:t>
            </w:r>
          </w:p>
          <w:p w:rsidR="007D1ED2" w:rsidRDefault="001C3B3B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Weekly </w:t>
            </w:r>
            <w:r w:rsidR="00FD37A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Career lessons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in tutor time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: How to write a CV, Signing up for a UCAS Hub Account for University and Apprenticeships</w:t>
            </w:r>
            <w:r w:rsidR="00222F5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, ready for work business skills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43AD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Open </w:t>
            </w:r>
            <w:r w:rsidRPr="007154C9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Days for post-18 options posted on Google Classrooms</w:t>
            </w:r>
            <w:r w:rsidR="009413AA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222F52" w:rsidRPr="007154C9" w:rsidRDefault="00222F52" w:rsidP="00A7704F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Warwick Scholars Scheme promoted</w:t>
            </w:r>
          </w:p>
          <w:p w:rsidR="007D1ED2" w:rsidRPr="00343AD0" w:rsidRDefault="00222F52" w:rsidP="009413AA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9413A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Progression of Duke of Edinburgh is encouraged</w:t>
            </w:r>
          </w:p>
        </w:tc>
        <w:tc>
          <w:tcPr>
            <w:tcW w:w="7694" w:type="dxa"/>
          </w:tcPr>
          <w:p w:rsidR="007D1ED2" w:rsidRPr="009413AA" w:rsidRDefault="007D1ED2" w:rsidP="00A7704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Year 13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UCAS Support</w:t>
            </w:r>
            <w:r w:rsidR="00C74B0D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(by university representatives)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Application support for employment and apprenticeships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Student Finance at University (Presentation by University Representatives)</w:t>
            </w:r>
          </w:p>
          <w:p w:rsidR="007D1ED2" w:rsidRDefault="001C3B3B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Weekly </w:t>
            </w:r>
            <w:r w:rsidR="00FD37A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Career lessons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in tutor time</w:t>
            </w:r>
            <w:r w:rsidR="007D1ED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FD37A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Completing application forms. Mock Interviews and assessment centres sessions.</w:t>
            </w:r>
          </w:p>
          <w:p w:rsidR="007D1ED2" w:rsidRDefault="007D1ED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343AD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Op</w:t>
            </w:r>
            <w:r w:rsidR="00794E25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portunities for</w:t>
            </w:r>
            <w:r w:rsidRPr="00343AD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post-18 options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posted</w:t>
            </w:r>
            <w:r w:rsidRPr="00343AD0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on Google Classrooms.</w:t>
            </w:r>
          </w:p>
          <w:p w:rsidR="00794E25" w:rsidRDefault="00794E25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Activities given in UNIFROG the </w:t>
            </w:r>
            <w:r w:rsidR="006807F2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school’s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 career platform</w:t>
            </w:r>
          </w:p>
          <w:p w:rsidR="007D1ED2" w:rsidRPr="00CE7B43" w:rsidRDefault="00222F52" w:rsidP="00A7704F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9413A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Progression of Duke of Edinburgh is encouraged</w:t>
            </w:r>
          </w:p>
        </w:tc>
      </w:tr>
    </w:tbl>
    <w:p w:rsidR="008A563E" w:rsidRDefault="008A563E"/>
    <w:sectPr w:rsidR="008A563E" w:rsidSect="00794E25">
      <w:headerReference w:type="default" r:id="rId7"/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0D" w:rsidRDefault="0006570D" w:rsidP="000A3172">
      <w:pPr>
        <w:spacing w:after="0" w:line="240" w:lineRule="auto"/>
      </w:pPr>
      <w:r>
        <w:separator/>
      </w:r>
    </w:p>
  </w:endnote>
  <w:endnote w:type="continuationSeparator" w:id="0">
    <w:p w:rsidR="0006570D" w:rsidRDefault="0006570D" w:rsidP="000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0D" w:rsidRDefault="0006570D" w:rsidP="000A3172">
      <w:pPr>
        <w:spacing w:after="0" w:line="240" w:lineRule="auto"/>
      </w:pPr>
      <w:r>
        <w:separator/>
      </w:r>
    </w:p>
  </w:footnote>
  <w:footnote w:type="continuationSeparator" w:id="0">
    <w:p w:rsidR="0006570D" w:rsidRDefault="0006570D" w:rsidP="000A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72" w:rsidRDefault="000A3172" w:rsidP="000A3172">
    <w:pPr>
      <w:pStyle w:val="Header"/>
      <w:jc w:val="right"/>
    </w:pPr>
    <w:r>
      <w:rPr>
        <w:noProof/>
      </w:rPr>
      <w:drawing>
        <wp:inline distT="0" distB="0" distL="0" distR="0">
          <wp:extent cx="1959489" cy="680904"/>
          <wp:effectExtent l="0" t="0" r="3175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G COVENTRY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137" cy="745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D2"/>
    <w:rsid w:val="0006570D"/>
    <w:rsid w:val="000A3172"/>
    <w:rsid w:val="001C3B3B"/>
    <w:rsid w:val="00222F52"/>
    <w:rsid w:val="00244D7A"/>
    <w:rsid w:val="00367566"/>
    <w:rsid w:val="005E1501"/>
    <w:rsid w:val="006807F2"/>
    <w:rsid w:val="00794E25"/>
    <w:rsid w:val="007D1ED2"/>
    <w:rsid w:val="008A563E"/>
    <w:rsid w:val="009413AA"/>
    <w:rsid w:val="00A24065"/>
    <w:rsid w:val="00B407E7"/>
    <w:rsid w:val="00C1052A"/>
    <w:rsid w:val="00C74B0D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52AA"/>
  <w15:chartTrackingRefBased/>
  <w15:docId w15:val="{8CB2A646-F739-4AF3-8C18-EA032C0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72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40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06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ABCB-06A2-485F-9FEA-1F7D8741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 Academy for Young Engineers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Carmichael</dc:creator>
  <cp:keywords/>
  <dc:description/>
  <cp:lastModifiedBy>Paula Carmichael</cp:lastModifiedBy>
  <cp:revision>7</cp:revision>
  <dcterms:created xsi:type="dcterms:W3CDTF">2020-08-17T13:48:00Z</dcterms:created>
  <dcterms:modified xsi:type="dcterms:W3CDTF">2022-07-01T09:03:00Z</dcterms:modified>
</cp:coreProperties>
</file>